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17" w:rsidRPr="0097455D" w:rsidRDefault="00C04F7E">
      <w:pPr>
        <w:rPr>
          <w:rFonts w:ascii="Arial" w:hAnsi="Arial" w:cs="Arial"/>
          <w:b/>
          <w:szCs w:val="20"/>
        </w:rPr>
      </w:pPr>
      <w:r w:rsidRPr="0097455D">
        <w:rPr>
          <w:rFonts w:ascii="Arial" w:hAnsi="Arial" w:cs="Arial"/>
          <w:b/>
          <w:szCs w:val="20"/>
        </w:rPr>
        <w:t>WGA-premies UWV in 2012</w:t>
      </w:r>
    </w:p>
    <w:p w:rsidR="00C04F7E" w:rsidRPr="0097455D" w:rsidRDefault="00C04F7E">
      <w:pPr>
        <w:rPr>
          <w:rFonts w:ascii="Arial" w:hAnsi="Arial" w:cs="Arial"/>
          <w:b/>
          <w:szCs w:val="20"/>
        </w:rPr>
      </w:pPr>
    </w:p>
    <w:p w:rsidR="00C04F7E" w:rsidRPr="0097455D" w:rsidRDefault="00C04F7E">
      <w:pPr>
        <w:rPr>
          <w:rFonts w:ascii="Arial" w:hAnsi="Arial" w:cs="Arial"/>
          <w:szCs w:val="20"/>
        </w:rPr>
      </w:pPr>
      <w:r w:rsidRPr="0097455D">
        <w:rPr>
          <w:rFonts w:ascii="Arial" w:hAnsi="Arial" w:cs="Arial"/>
          <w:szCs w:val="20"/>
        </w:rPr>
        <w:t xml:space="preserve">De gemiddelde gedifferentieerde WGA-premie daalt bij het UWV in 2012. </w:t>
      </w:r>
      <w:r w:rsidR="002D2604" w:rsidRPr="0097455D">
        <w:rPr>
          <w:rFonts w:ascii="Arial" w:hAnsi="Arial" w:cs="Arial"/>
          <w:szCs w:val="20"/>
        </w:rPr>
        <w:t>Met ingang van 1 januari 2012 bedraagt de minimum premie voor grote werkgevers een kwart van de gemiddelde premie.</w:t>
      </w:r>
      <w:r w:rsidR="00E30DA5" w:rsidRPr="0097455D">
        <w:rPr>
          <w:rFonts w:ascii="Arial" w:hAnsi="Arial" w:cs="Arial"/>
          <w:szCs w:val="20"/>
        </w:rPr>
        <w:t xml:space="preserve"> Hierdoor stijgt voor grote werkgevers de minimum premie eenmalig fors van 0,07% naar 0,13%.</w:t>
      </w:r>
    </w:p>
    <w:p w:rsidR="00D70B1C" w:rsidRPr="0097455D" w:rsidRDefault="00D70B1C">
      <w:pPr>
        <w:rPr>
          <w:rFonts w:ascii="Arial" w:hAnsi="Arial" w:cs="Arial"/>
          <w:szCs w:val="20"/>
        </w:rPr>
      </w:pPr>
    </w:p>
    <w:p w:rsidR="00B87AAA" w:rsidRPr="0097455D" w:rsidRDefault="007D02A5">
      <w:pPr>
        <w:rPr>
          <w:rFonts w:ascii="Arial" w:hAnsi="Arial" w:cs="Arial"/>
          <w:szCs w:val="20"/>
        </w:rPr>
      </w:pPr>
      <w:r w:rsidRPr="0097455D">
        <w:rPr>
          <w:rFonts w:ascii="Arial" w:hAnsi="Arial" w:cs="Arial"/>
          <w:szCs w:val="20"/>
        </w:rPr>
        <w:t xml:space="preserve">In de onderstaande tabel vindt u de verschillende premies. De grens tussen een kleine en grote werkgever is </w:t>
      </w:r>
      <w:r w:rsidR="0078275D" w:rsidRPr="0097455D">
        <w:rPr>
          <w:rFonts w:ascii="Arial" w:hAnsi="Arial" w:cs="Arial"/>
          <w:szCs w:val="20"/>
        </w:rPr>
        <w:t xml:space="preserve">afhankelijk van de loonsom. Als de loonsom meer bedraagt dan 25 maal het gemiddelde premieplichtige loon per werknemer is de werkgever </w:t>
      </w:r>
      <w:r w:rsidR="00167773" w:rsidRPr="0097455D">
        <w:rPr>
          <w:rFonts w:ascii="Arial" w:hAnsi="Arial" w:cs="Arial"/>
          <w:szCs w:val="20"/>
        </w:rPr>
        <w:t>een grote werkgever</w:t>
      </w:r>
      <w:r w:rsidR="0078275D" w:rsidRPr="0097455D">
        <w:rPr>
          <w:rFonts w:ascii="Arial" w:hAnsi="Arial" w:cs="Arial"/>
          <w:szCs w:val="20"/>
        </w:rPr>
        <w:t>. Bij de premievaststelling voor 2012 wordt uitgegaan van de werkgeversloonsom in 2010. De gemiddelde loonsom</w:t>
      </w:r>
      <w:r w:rsidR="00AE04BF" w:rsidRPr="0097455D">
        <w:rPr>
          <w:rFonts w:ascii="Arial" w:hAnsi="Arial" w:cs="Arial"/>
          <w:szCs w:val="20"/>
        </w:rPr>
        <w:t xml:space="preserve"> bedroeg in 2010 € 30.200,-. De grens grote/kleine werkgever komt hiermee op € 755.000,-.</w:t>
      </w:r>
    </w:p>
    <w:p w:rsidR="00B87AAA" w:rsidRPr="0097455D" w:rsidRDefault="00B87AAA">
      <w:pPr>
        <w:rPr>
          <w:rFonts w:ascii="Arial" w:hAnsi="Arial" w:cs="Arial"/>
          <w:b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1733"/>
      </w:tblGrid>
      <w:tr w:rsidR="00116554" w:rsidRPr="0097455D" w:rsidTr="00FE7F2C">
        <w:tc>
          <w:tcPr>
            <w:tcW w:w="9212" w:type="dxa"/>
            <w:gridSpan w:val="4"/>
            <w:shd w:val="clear" w:color="auto" w:fill="2A3990"/>
          </w:tcPr>
          <w:p w:rsidR="00430E74" w:rsidRPr="0097455D" w:rsidRDefault="00430E74" w:rsidP="00AE76F2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7455D">
              <w:rPr>
                <w:rFonts w:ascii="Arial" w:hAnsi="Arial" w:cs="Arial"/>
                <w:b/>
                <w:color w:val="FFFFFF" w:themeColor="background1"/>
                <w:szCs w:val="20"/>
              </w:rPr>
              <w:t>WGA-premies 2010, 2011 en 2012</w:t>
            </w:r>
            <w:r w:rsidR="00490E87" w:rsidRPr="0097455D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E7289B" w:rsidRPr="0097455D" w:rsidTr="00AE76F2">
        <w:tc>
          <w:tcPr>
            <w:tcW w:w="4077" w:type="dxa"/>
            <w:shd w:val="clear" w:color="auto" w:fill="FABF8F" w:themeFill="accent6" w:themeFillTint="99"/>
          </w:tcPr>
          <w:p w:rsidR="00E7289B" w:rsidRPr="0097455D" w:rsidRDefault="00E7289B" w:rsidP="00AE76F2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E7289B" w:rsidRPr="0097455D" w:rsidRDefault="00572E1C" w:rsidP="00AE76F2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97455D">
              <w:rPr>
                <w:rFonts w:ascii="Arial" w:hAnsi="Arial" w:cs="Arial"/>
                <w:b/>
                <w:szCs w:val="20"/>
              </w:rPr>
              <w:t>2010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E7289B" w:rsidRPr="0097455D" w:rsidRDefault="00572E1C" w:rsidP="00AE76F2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97455D">
              <w:rPr>
                <w:rFonts w:ascii="Arial" w:hAnsi="Arial" w:cs="Arial"/>
                <w:b/>
                <w:szCs w:val="20"/>
              </w:rPr>
              <w:t>2011</w:t>
            </w:r>
          </w:p>
        </w:tc>
        <w:tc>
          <w:tcPr>
            <w:tcW w:w="1733" w:type="dxa"/>
            <w:shd w:val="clear" w:color="auto" w:fill="FABF8F" w:themeFill="accent6" w:themeFillTint="99"/>
          </w:tcPr>
          <w:p w:rsidR="00E7289B" w:rsidRPr="0097455D" w:rsidRDefault="00572E1C" w:rsidP="00AE76F2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97455D">
              <w:rPr>
                <w:rFonts w:ascii="Arial" w:hAnsi="Arial" w:cs="Arial"/>
                <w:b/>
                <w:szCs w:val="20"/>
              </w:rPr>
              <w:t>2012</w:t>
            </w:r>
          </w:p>
        </w:tc>
      </w:tr>
      <w:tr w:rsidR="003C1FD7" w:rsidRPr="0097455D" w:rsidTr="00AE76F2">
        <w:tc>
          <w:tcPr>
            <w:tcW w:w="4077" w:type="dxa"/>
            <w:shd w:val="clear" w:color="auto" w:fill="FBD4B4" w:themeFill="accent6" w:themeFillTint="66"/>
          </w:tcPr>
          <w:p w:rsidR="003C1FD7" w:rsidRPr="0097455D" w:rsidRDefault="003C1FD7" w:rsidP="00AE76F2">
            <w:pPr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Gemiddeld premieplichtig loon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3C1FD7" w:rsidRPr="0097455D" w:rsidRDefault="003C1FD7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€ 29.200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3C1FD7" w:rsidRPr="0097455D" w:rsidRDefault="003C1FD7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€ 29.900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3C1FD7" w:rsidRPr="0097455D" w:rsidRDefault="003C1FD7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€ 30.200</w:t>
            </w:r>
          </w:p>
        </w:tc>
      </w:tr>
      <w:tr w:rsidR="003C1FD7" w:rsidRPr="0097455D" w:rsidTr="00AE76F2">
        <w:tc>
          <w:tcPr>
            <w:tcW w:w="4077" w:type="dxa"/>
            <w:shd w:val="clear" w:color="auto" w:fill="FBD4B4" w:themeFill="accent6" w:themeFillTint="66"/>
          </w:tcPr>
          <w:p w:rsidR="003C1FD7" w:rsidRPr="0097455D" w:rsidRDefault="003C1FD7" w:rsidP="00AE76F2">
            <w:pPr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Grensbedrag kleine/grote werkgever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3C1FD7" w:rsidRPr="0097455D" w:rsidRDefault="003C1FD7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€ 730.000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3C1FD7" w:rsidRPr="0097455D" w:rsidRDefault="003C1FD7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€ 747.500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3C1FD7" w:rsidRPr="0097455D" w:rsidRDefault="003C1FD7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€ 755.000</w:t>
            </w:r>
          </w:p>
        </w:tc>
      </w:tr>
      <w:tr w:rsidR="00E7289B" w:rsidRPr="0097455D" w:rsidTr="00AE76F2">
        <w:tc>
          <w:tcPr>
            <w:tcW w:w="4077" w:type="dxa"/>
            <w:shd w:val="clear" w:color="auto" w:fill="FBD4B4" w:themeFill="accent6" w:themeFillTint="66"/>
          </w:tcPr>
          <w:p w:rsidR="00E7289B" w:rsidRPr="0097455D" w:rsidRDefault="00AE04BF" w:rsidP="00AE76F2">
            <w:pPr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Rekenpremie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7289B" w:rsidRPr="0097455D" w:rsidRDefault="00116554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0,59%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7289B" w:rsidRPr="0097455D" w:rsidRDefault="00FE7F2C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0,62%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E7289B" w:rsidRPr="0097455D" w:rsidRDefault="00FE7F2C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0,55%</w:t>
            </w:r>
          </w:p>
        </w:tc>
      </w:tr>
      <w:tr w:rsidR="00E7289B" w:rsidRPr="0097455D" w:rsidTr="00AE76F2">
        <w:tc>
          <w:tcPr>
            <w:tcW w:w="4077" w:type="dxa"/>
            <w:shd w:val="clear" w:color="auto" w:fill="FBD4B4" w:themeFill="accent6" w:themeFillTint="66"/>
          </w:tcPr>
          <w:p w:rsidR="00E7289B" w:rsidRPr="0097455D" w:rsidRDefault="00AE04BF" w:rsidP="00AE76F2">
            <w:pPr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 xml:space="preserve">Gemiddelde </w:t>
            </w:r>
            <w:r w:rsidR="00FE7F2C" w:rsidRPr="0097455D">
              <w:rPr>
                <w:rFonts w:ascii="Arial" w:hAnsi="Arial" w:cs="Arial"/>
                <w:szCs w:val="20"/>
              </w:rPr>
              <w:t>p</w:t>
            </w:r>
            <w:r w:rsidRPr="0097455D">
              <w:rPr>
                <w:rFonts w:ascii="Arial" w:hAnsi="Arial" w:cs="Arial"/>
                <w:szCs w:val="20"/>
              </w:rPr>
              <w:t>remie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7289B" w:rsidRPr="0097455D" w:rsidRDefault="00910F5B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0,5</w:t>
            </w:r>
            <w:r w:rsidR="00FE7F2C" w:rsidRPr="0097455D">
              <w:rPr>
                <w:rFonts w:ascii="Arial" w:hAnsi="Arial" w:cs="Arial"/>
                <w:szCs w:val="20"/>
              </w:rPr>
              <w:t>3</w:t>
            </w:r>
            <w:r w:rsidRPr="0097455D">
              <w:rPr>
                <w:rFonts w:ascii="Arial" w:hAnsi="Arial" w:cs="Arial"/>
                <w:szCs w:val="20"/>
              </w:rPr>
              <w:t>%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7289B" w:rsidRPr="0097455D" w:rsidRDefault="00FE7F2C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0,55</w:t>
            </w:r>
            <w:r w:rsidR="00910F5B" w:rsidRPr="0097455D">
              <w:rPr>
                <w:rFonts w:ascii="Arial" w:hAnsi="Arial" w:cs="Arial"/>
                <w:szCs w:val="20"/>
              </w:rPr>
              <w:t>%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E7289B" w:rsidRPr="0097455D" w:rsidRDefault="00FE7F2C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0,53</w:t>
            </w:r>
            <w:r w:rsidR="00910F5B" w:rsidRPr="0097455D">
              <w:rPr>
                <w:rFonts w:ascii="Arial" w:hAnsi="Arial" w:cs="Arial"/>
                <w:szCs w:val="20"/>
              </w:rPr>
              <w:t>%</w:t>
            </w:r>
          </w:p>
        </w:tc>
      </w:tr>
      <w:tr w:rsidR="00E7289B" w:rsidRPr="0097455D" w:rsidTr="00AE76F2">
        <w:tc>
          <w:tcPr>
            <w:tcW w:w="4077" w:type="dxa"/>
            <w:shd w:val="clear" w:color="auto" w:fill="FBD4B4" w:themeFill="accent6" w:themeFillTint="66"/>
          </w:tcPr>
          <w:p w:rsidR="00E7289B" w:rsidRPr="0097455D" w:rsidRDefault="00FE7F2C" w:rsidP="00AE76F2">
            <w:pPr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Minimum premie kleine werkgever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7289B" w:rsidRPr="0097455D" w:rsidRDefault="00FE7F2C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0,59%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7289B" w:rsidRPr="0097455D" w:rsidRDefault="00FE7F2C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0,56%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E7289B" w:rsidRPr="0097455D" w:rsidRDefault="00FE7F2C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0,48%</w:t>
            </w:r>
          </w:p>
        </w:tc>
      </w:tr>
      <w:tr w:rsidR="00FE7F2C" w:rsidRPr="0097455D" w:rsidTr="00AE76F2">
        <w:tc>
          <w:tcPr>
            <w:tcW w:w="4077" w:type="dxa"/>
            <w:shd w:val="clear" w:color="auto" w:fill="FBD4B4" w:themeFill="accent6" w:themeFillTint="66"/>
          </w:tcPr>
          <w:p w:rsidR="00FE7F2C" w:rsidRPr="0097455D" w:rsidRDefault="00FE7F2C" w:rsidP="00AE76F2">
            <w:pPr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Maximum premie kleine werkgever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E7F2C" w:rsidRPr="0097455D" w:rsidRDefault="00FE7F2C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1,59%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E7F2C" w:rsidRPr="0097455D" w:rsidRDefault="00FE7F2C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1,65%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FE7F2C" w:rsidRPr="0097455D" w:rsidRDefault="00FE7F2C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1,59%</w:t>
            </w:r>
          </w:p>
        </w:tc>
      </w:tr>
      <w:tr w:rsidR="00FE7F2C" w:rsidRPr="0097455D" w:rsidTr="00AE76F2">
        <w:tc>
          <w:tcPr>
            <w:tcW w:w="4077" w:type="dxa"/>
            <w:shd w:val="clear" w:color="auto" w:fill="FBD4B4" w:themeFill="accent6" w:themeFillTint="66"/>
          </w:tcPr>
          <w:p w:rsidR="00FE7F2C" w:rsidRPr="0097455D" w:rsidRDefault="00FE7F2C" w:rsidP="00AE76F2">
            <w:pPr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Minimum premie grote werkgever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E7F2C" w:rsidRPr="0097455D" w:rsidRDefault="00252219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0,00%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E7F2C" w:rsidRPr="0097455D" w:rsidRDefault="00252219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0,07%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FE7F2C" w:rsidRPr="0097455D" w:rsidRDefault="00252219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0,13%</w:t>
            </w:r>
          </w:p>
        </w:tc>
      </w:tr>
      <w:tr w:rsidR="00252219" w:rsidRPr="0097455D" w:rsidTr="00AE76F2">
        <w:tc>
          <w:tcPr>
            <w:tcW w:w="4077" w:type="dxa"/>
            <w:shd w:val="clear" w:color="auto" w:fill="FBD4B4" w:themeFill="accent6" w:themeFillTint="66"/>
          </w:tcPr>
          <w:p w:rsidR="00252219" w:rsidRPr="0097455D" w:rsidRDefault="00252219" w:rsidP="00AE76F2">
            <w:pPr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Maximum premie grote werkgever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52219" w:rsidRPr="0097455D" w:rsidRDefault="00252219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2,12%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52219" w:rsidRPr="0097455D" w:rsidRDefault="00252219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2,20%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252219" w:rsidRPr="0097455D" w:rsidRDefault="00252219" w:rsidP="00AE76F2">
            <w:pPr>
              <w:jc w:val="right"/>
              <w:rPr>
                <w:rFonts w:ascii="Arial" w:hAnsi="Arial" w:cs="Arial"/>
                <w:szCs w:val="20"/>
              </w:rPr>
            </w:pPr>
            <w:r w:rsidRPr="0097455D">
              <w:rPr>
                <w:rFonts w:ascii="Arial" w:hAnsi="Arial" w:cs="Arial"/>
                <w:szCs w:val="20"/>
              </w:rPr>
              <w:t>2,12%</w:t>
            </w:r>
          </w:p>
        </w:tc>
      </w:tr>
    </w:tbl>
    <w:p w:rsidR="00E7289B" w:rsidRPr="0097455D" w:rsidRDefault="00E7289B">
      <w:pPr>
        <w:rPr>
          <w:rFonts w:ascii="Arial" w:hAnsi="Arial" w:cs="Arial"/>
          <w:szCs w:val="20"/>
        </w:rPr>
      </w:pPr>
    </w:p>
    <w:p w:rsidR="00B4379D" w:rsidRDefault="00B4379D">
      <w:pPr>
        <w:rPr>
          <w:rFonts w:ascii="Arial" w:hAnsi="Arial" w:cs="Arial"/>
          <w:szCs w:val="20"/>
        </w:rPr>
      </w:pPr>
      <w:r w:rsidRPr="0097455D">
        <w:rPr>
          <w:rFonts w:ascii="Arial" w:hAnsi="Arial" w:cs="Arial"/>
          <w:szCs w:val="20"/>
        </w:rPr>
        <w:t xml:space="preserve">Werkgevers kunnen het WGA-risico bij het UWV verzekeren of voor eigen rekening nemen. </w:t>
      </w:r>
      <w:r w:rsidR="00D23436" w:rsidRPr="0097455D">
        <w:rPr>
          <w:rFonts w:ascii="Arial" w:hAnsi="Arial" w:cs="Arial"/>
          <w:szCs w:val="20"/>
        </w:rPr>
        <w:t>In het laatste geval betalen werkgevers zelf de WGA-uitkering</w:t>
      </w:r>
      <w:r w:rsidR="0097455D" w:rsidRPr="0097455D">
        <w:rPr>
          <w:rFonts w:ascii="Arial" w:hAnsi="Arial" w:cs="Arial"/>
          <w:szCs w:val="20"/>
        </w:rPr>
        <w:t>en of verzekeren die bij een private verzekeraar.</w:t>
      </w:r>
      <w:r w:rsidR="0097455D">
        <w:rPr>
          <w:rFonts w:ascii="Arial" w:hAnsi="Arial" w:cs="Arial"/>
          <w:szCs w:val="20"/>
        </w:rPr>
        <w:t xml:space="preserve"> </w:t>
      </w:r>
    </w:p>
    <w:p w:rsidR="00F036C7" w:rsidRDefault="00F036C7" w:rsidP="00F036C7">
      <w:pPr>
        <w:rPr>
          <w:rFonts w:ascii="Arial" w:hAnsi="Arial" w:cs="Arial"/>
          <w:szCs w:val="20"/>
        </w:rPr>
      </w:pPr>
    </w:p>
    <w:p w:rsidR="00F036C7" w:rsidRPr="0097455D" w:rsidRDefault="00F036C7" w:rsidP="00F036C7">
      <w:pPr>
        <w:rPr>
          <w:rFonts w:ascii="Arial" w:hAnsi="Arial" w:cs="Arial"/>
          <w:szCs w:val="20"/>
        </w:rPr>
      </w:pPr>
      <w:r w:rsidRPr="0097455D">
        <w:rPr>
          <w:rFonts w:ascii="Arial" w:hAnsi="Arial" w:cs="Arial"/>
          <w:szCs w:val="20"/>
        </w:rPr>
        <w:t xml:space="preserve">Op de site van het UWV staat een WIA-wijzer waarmee werkgevers een indicatie kunnen krijgen van de hoogte van de gedifferentieerde WGA-premie. </w:t>
      </w:r>
    </w:p>
    <w:p w:rsidR="0014352C" w:rsidRDefault="0014352C">
      <w:pPr>
        <w:rPr>
          <w:rFonts w:ascii="Arial" w:hAnsi="Arial" w:cs="Arial"/>
          <w:szCs w:val="20"/>
        </w:rPr>
      </w:pPr>
    </w:p>
    <w:p w:rsidR="0014352C" w:rsidRDefault="0014352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Veel werkgevers kunnen zich voor dit risico tegen een lagere premie en betere voorwaarden verzekeren bij een private verzekeraar. Zelfs als er al medewerkers de WAO of WGA zijn ingestroomd.</w:t>
      </w:r>
      <w:r w:rsidR="00F036C7">
        <w:rPr>
          <w:rFonts w:ascii="Arial" w:hAnsi="Arial" w:cs="Arial"/>
          <w:szCs w:val="20"/>
        </w:rPr>
        <w:t xml:space="preserve"> Als u hierover een advies wenst, zijn wij u graag van dienst.</w:t>
      </w:r>
    </w:p>
    <w:p w:rsidR="0014352C" w:rsidRDefault="0014352C">
      <w:pPr>
        <w:rPr>
          <w:rFonts w:ascii="Arial" w:hAnsi="Arial" w:cs="Arial"/>
          <w:szCs w:val="20"/>
        </w:rPr>
      </w:pPr>
    </w:p>
    <w:p w:rsidR="00B4379D" w:rsidRDefault="00F6613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Rijssen, 2 september 2011</w:t>
      </w:r>
    </w:p>
    <w:p w:rsidR="00F66135" w:rsidRDefault="00F66135">
      <w:pPr>
        <w:rPr>
          <w:rFonts w:ascii="Arial" w:hAnsi="Arial" w:cs="Arial"/>
          <w:szCs w:val="20"/>
        </w:rPr>
      </w:pPr>
    </w:p>
    <w:p w:rsidR="00A9013B" w:rsidRDefault="00A9013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Erik Hertgers</w:t>
      </w:r>
      <w:bookmarkStart w:id="0" w:name="_GoBack"/>
      <w:bookmarkEnd w:id="0"/>
    </w:p>
    <w:p w:rsidR="00F66135" w:rsidRDefault="00F6613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Hertgers Pensioen Advies</w:t>
      </w:r>
    </w:p>
    <w:p w:rsidR="00F66135" w:rsidRPr="0097455D" w:rsidRDefault="00F66135">
      <w:pPr>
        <w:rPr>
          <w:rFonts w:ascii="Arial" w:hAnsi="Arial" w:cs="Arial"/>
          <w:szCs w:val="20"/>
        </w:rPr>
      </w:pPr>
    </w:p>
    <w:sectPr w:rsidR="00F66135" w:rsidRPr="0097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7E"/>
    <w:rsid w:val="00011DE9"/>
    <w:rsid w:val="00020AD1"/>
    <w:rsid w:val="00027D86"/>
    <w:rsid w:val="00036D9E"/>
    <w:rsid w:val="000658C9"/>
    <w:rsid w:val="00096254"/>
    <w:rsid w:val="000A31DB"/>
    <w:rsid w:val="000C2950"/>
    <w:rsid w:val="000D75D9"/>
    <w:rsid w:val="000F4D29"/>
    <w:rsid w:val="00116554"/>
    <w:rsid w:val="001321D4"/>
    <w:rsid w:val="0014352C"/>
    <w:rsid w:val="00167773"/>
    <w:rsid w:val="00174362"/>
    <w:rsid w:val="0018539B"/>
    <w:rsid w:val="001E5D34"/>
    <w:rsid w:val="002063AB"/>
    <w:rsid w:val="00244614"/>
    <w:rsid w:val="00252219"/>
    <w:rsid w:val="002931A3"/>
    <w:rsid w:val="002A25F3"/>
    <w:rsid w:val="002D2604"/>
    <w:rsid w:val="002E2FCA"/>
    <w:rsid w:val="002F5DD1"/>
    <w:rsid w:val="0033472B"/>
    <w:rsid w:val="003C1FD7"/>
    <w:rsid w:val="003E1224"/>
    <w:rsid w:val="00430E74"/>
    <w:rsid w:val="004803A2"/>
    <w:rsid w:val="00490E87"/>
    <w:rsid w:val="004A636A"/>
    <w:rsid w:val="004B772C"/>
    <w:rsid w:val="004F65B3"/>
    <w:rsid w:val="00533679"/>
    <w:rsid w:val="00551984"/>
    <w:rsid w:val="00572E1C"/>
    <w:rsid w:val="00591F8E"/>
    <w:rsid w:val="005D756B"/>
    <w:rsid w:val="005F315B"/>
    <w:rsid w:val="006C03C2"/>
    <w:rsid w:val="006C6F29"/>
    <w:rsid w:val="00713C79"/>
    <w:rsid w:val="00741C2C"/>
    <w:rsid w:val="00780838"/>
    <w:rsid w:val="0078275D"/>
    <w:rsid w:val="007C7069"/>
    <w:rsid w:val="007D02A5"/>
    <w:rsid w:val="007D7E99"/>
    <w:rsid w:val="008072C8"/>
    <w:rsid w:val="00815B7D"/>
    <w:rsid w:val="00875C49"/>
    <w:rsid w:val="0088129B"/>
    <w:rsid w:val="008A7E80"/>
    <w:rsid w:val="008E5CD0"/>
    <w:rsid w:val="008F38CB"/>
    <w:rsid w:val="00910F5B"/>
    <w:rsid w:val="00914A52"/>
    <w:rsid w:val="00921D17"/>
    <w:rsid w:val="00927FA9"/>
    <w:rsid w:val="00936CEC"/>
    <w:rsid w:val="00945D82"/>
    <w:rsid w:val="00945FBA"/>
    <w:rsid w:val="0097455D"/>
    <w:rsid w:val="009B6182"/>
    <w:rsid w:val="009D53FC"/>
    <w:rsid w:val="009D69BC"/>
    <w:rsid w:val="00A31158"/>
    <w:rsid w:val="00A354DA"/>
    <w:rsid w:val="00A9013B"/>
    <w:rsid w:val="00AE04BF"/>
    <w:rsid w:val="00AE76F2"/>
    <w:rsid w:val="00B056EF"/>
    <w:rsid w:val="00B11753"/>
    <w:rsid w:val="00B4379D"/>
    <w:rsid w:val="00B804EB"/>
    <w:rsid w:val="00B87AAA"/>
    <w:rsid w:val="00B91517"/>
    <w:rsid w:val="00BA38EA"/>
    <w:rsid w:val="00BD2F67"/>
    <w:rsid w:val="00C04F7E"/>
    <w:rsid w:val="00C62EA7"/>
    <w:rsid w:val="00C9300A"/>
    <w:rsid w:val="00CB7EAF"/>
    <w:rsid w:val="00D23436"/>
    <w:rsid w:val="00D70B1C"/>
    <w:rsid w:val="00DC115C"/>
    <w:rsid w:val="00DF245E"/>
    <w:rsid w:val="00E30DA5"/>
    <w:rsid w:val="00E41815"/>
    <w:rsid w:val="00E578A8"/>
    <w:rsid w:val="00E66E06"/>
    <w:rsid w:val="00E7289B"/>
    <w:rsid w:val="00EA5FC8"/>
    <w:rsid w:val="00EE7CC7"/>
    <w:rsid w:val="00F036C7"/>
    <w:rsid w:val="00F108AD"/>
    <w:rsid w:val="00F66135"/>
    <w:rsid w:val="00F73BA6"/>
    <w:rsid w:val="00FB586A"/>
    <w:rsid w:val="00FE7F2C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0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72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143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43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0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72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143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43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Hertgers</dc:creator>
  <cp:lastModifiedBy>Erik Hertgers</cp:lastModifiedBy>
  <cp:revision>10</cp:revision>
  <dcterms:created xsi:type="dcterms:W3CDTF">2011-09-02T15:05:00Z</dcterms:created>
  <dcterms:modified xsi:type="dcterms:W3CDTF">2011-09-06T10:25:00Z</dcterms:modified>
</cp:coreProperties>
</file>